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B01E42" w:rsidRPr="00F03117" w14:paraId="184D3162" w14:textId="77777777" w:rsidTr="003D0F82">
        <w:tc>
          <w:tcPr>
            <w:tcW w:w="4678" w:type="dxa"/>
          </w:tcPr>
          <w:p w14:paraId="4CF568A4" w14:textId="77777777" w:rsidR="00B01E42" w:rsidRPr="00F03117" w:rsidRDefault="00B01E42" w:rsidP="003D0F82">
            <w:pPr>
              <w:jc w:val="center"/>
              <w:rPr>
                <w:rFonts w:ascii="Times New Roman" w:hAnsi="Times New Roman" w:cs="Times New Roman"/>
                <w:sz w:val="26"/>
                <w:szCs w:val="26"/>
                <w:lang w:val="en"/>
              </w:rPr>
            </w:pPr>
            <w:r w:rsidRPr="00F03117">
              <w:rPr>
                <w:rFonts w:ascii="Times New Roman" w:hAnsi="Times New Roman" w:cs="Times New Roman"/>
                <w:sz w:val="26"/>
                <w:szCs w:val="26"/>
                <w:lang w:val="en"/>
              </w:rPr>
              <w:t>BỘ NÔNG NGHIỆP VÀ MÔI TRƯỜNG</w:t>
            </w:r>
          </w:p>
          <w:p w14:paraId="7DBC4825" w14:textId="77777777" w:rsidR="00B01E42" w:rsidRPr="00F03117" w:rsidRDefault="00B01E42" w:rsidP="003D0F82">
            <w:pPr>
              <w:jc w:val="center"/>
              <w:rPr>
                <w:rFonts w:ascii="Times New Roman" w:hAnsi="Times New Roman" w:cs="Times New Roman"/>
                <w:b/>
                <w:bCs/>
                <w:sz w:val="28"/>
                <w:szCs w:val="28"/>
                <w:lang w:val="en"/>
              </w:rPr>
            </w:pPr>
            <w:r w:rsidRPr="00F03117">
              <w:rPr>
                <w:rFonts w:ascii="Times New Roman" w:hAnsi="Times New Roman" w:cs="Times New Roman"/>
                <w:b/>
                <w:bCs/>
                <w:sz w:val="26"/>
                <w:szCs w:val="26"/>
                <w:lang w:val="en"/>
              </w:rPr>
              <w:t>CỤC LÂM NGHIỆP VÀ KIỂM LÂM</w:t>
            </w:r>
          </w:p>
          <w:p w14:paraId="3B28BB36" w14:textId="77777777" w:rsidR="00B01E42" w:rsidRPr="00277306" w:rsidRDefault="00B01E42" w:rsidP="003D0F82">
            <w:pPr>
              <w:jc w:val="center"/>
              <w:rPr>
                <w:rFonts w:ascii="Times New Roman" w:hAnsi="Times New Roman" w:cs="Times New Roman"/>
                <w:b/>
                <w:bCs/>
                <w:sz w:val="28"/>
                <w:szCs w:val="28"/>
                <w:lang w:val="en"/>
              </w:rPr>
            </w:pPr>
            <w:r w:rsidRPr="00277306">
              <w:rPr>
                <w:b/>
                <w:bCs/>
                <w:noProof/>
                <w:lang w:val="en"/>
              </w:rPr>
              <mc:AlternateContent>
                <mc:Choice Requires="wps">
                  <w:drawing>
                    <wp:anchor distT="0" distB="0" distL="114300" distR="114300" simplePos="0" relativeHeight="251659264" behindDoc="0" locked="0" layoutInCell="1" allowOverlap="1" wp14:anchorId="64AB72F5" wp14:editId="20660E2D">
                      <wp:simplePos x="0" y="0"/>
                      <wp:positionH relativeFrom="column">
                        <wp:posOffset>688975</wp:posOffset>
                      </wp:positionH>
                      <wp:positionV relativeFrom="paragraph">
                        <wp:posOffset>36830</wp:posOffset>
                      </wp:positionV>
                      <wp:extent cx="1212850" cy="0"/>
                      <wp:effectExtent l="0" t="0" r="0" b="0"/>
                      <wp:wrapNone/>
                      <wp:docPr id="621821564" name="Straight Connector 1"/>
                      <wp:cNvGraphicFramePr/>
                      <a:graphic xmlns:a="http://schemas.openxmlformats.org/drawingml/2006/main">
                        <a:graphicData uri="http://schemas.microsoft.com/office/word/2010/wordprocessingShape">
                          <wps:wsp>
                            <wps:cNvCnPr/>
                            <wps:spPr>
                              <a:xfrm>
                                <a:off x="0" y="0"/>
                                <a:ext cx="121285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EAB22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25pt,2.9pt" to="149.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" strokecolor="black [3200]">
                      <v:stroke joinstyle="miter"/>
                    </v:line>
                  </w:pict>
                </mc:Fallback>
              </mc:AlternateContent>
            </w:r>
          </w:p>
        </w:tc>
        <w:tc>
          <w:tcPr>
            <w:tcW w:w="5670" w:type="dxa"/>
          </w:tcPr>
          <w:p w14:paraId="24A2E58E" w14:textId="77777777" w:rsidR="00B01E42" w:rsidRPr="00F03117" w:rsidRDefault="00B01E42" w:rsidP="003D0F82">
            <w:pPr>
              <w:jc w:val="center"/>
              <w:rPr>
                <w:rFonts w:ascii="Times New Roman" w:hAnsi="Times New Roman" w:cs="Times New Roman"/>
                <w:b/>
                <w:bCs/>
                <w:sz w:val="28"/>
                <w:szCs w:val="28"/>
                <w:lang w:val="en"/>
              </w:rPr>
            </w:pPr>
            <w:r w:rsidRPr="00277306">
              <w:rPr>
                <w:b/>
                <w:bCs/>
                <w:noProof/>
                <w:lang w:val="en"/>
              </w:rPr>
              <mc:AlternateContent>
                <mc:Choice Requires="wps">
                  <w:drawing>
                    <wp:anchor distT="0" distB="0" distL="114300" distR="114300" simplePos="0" relativeHeight="251660288" behindDoc="0" locked="0" layoutInCell="1" allowOverlap="1" wp14:anchorId="063AA0C7" wp14:editId="1236B043">
                      <wp:simplePos x="0" y="0"/>
                      <wp:positionH relativeFrom="column">
                        <wp:posOffset>683507</wp:posOffset>
                      </wp:positionH>
                      <wp:positionV relativeFrom="paragraph">
                        <wp:posOffset>456703</wp:posOffset>
                      </wp:positionV>
                      <wp:extent cx="2115047" cy="0"/>
                      <wp:effectExtent l="0" t="0" r="0" b="0"/>
                      <wp:wrapNone/>
                      <wp:docPr id="548253377" name="Straight Connector 1"/>
                      <wp:cNvGraphicFramePr/>
                      <a:graphic xmlns:a="http://schemas.openxmlformats.org/drawingml/2006/main">
                        <a:graphicData uri="http://schemas.microsoft.com/office/word/2010/wordprocessingShape">
                          <wps:wsp>
                            <wps:cNvCnPr/>
                            <wps:spPr>
                              <a:xfrm>
                                <a:off x="0" y="0"/>
                                <a:ext cx="211504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212DED"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8pt,35.95pt" to="220.3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" strokecolor="black [3200]">
                      <v:stroke joinstyle="miter"/>
                    </v:line>
                  </w:pict>
                </mc:Fallback>
              </mc:AlternateContent>
            </w:r>
            <w:r w:rsidRPr="005A5C31">
              <w:rPr>
                <w:rFonts w:ascii="Times New Roman" w:hAnsi="Times New Roman" w:cs="Times New Roman"/>
                <w:b/>
                <w:bCs/>
                <w:sz w:val="26"/>
                <w:szCs w:val="26"/>
                <w:lang w:val="en"/>
              </w:rPr>
              <w:t>C</w:t>
            </w:r>
            <w:r w:rsidRPr="005A5C31">
              <w:rPr>
                <w:rFonts w:ascii="Times New Roman" w:hAnsi="Times New Roman" w:cs="Times New Roman"/>
                <w:b/>
                <w:bCs/>
                <w:sz w:val="26"/>
                <w:szCs w:val="26"/>
                <w:lang w:val="vi-VN"/>
              </w:rPr>
              <w:t>ỘNG H</w:t>
            </w:r>
            <w:r w:rsidRPr="005A5C31">
              <w:rPr>
                <w:rFonts w:ascii="Times New Roman" w:hAnsi="Times New Roman" w:cs="Times New Roman"/>
                <w:b/>
                <w:bCs/>
                <w:sz w:val="26"/>
                <w:szCs w:val="26"/>
              </w:rPr>
              <w:t>ÒA XÃ H</w:t>
            </w:r>
            <w:r w:rsidRPr="005A5C31">
              <w:rPr>
                <w:rFonts w:ascii="Times New Roman" w:hAnsi="Times New Roman" w:cs="Times New Roman"/>
                <w:b/>
                <w:bCs/>
                <w:sz w:val="26"/>
                <w:szCs w:val="26"/>
                <w:lang w:val="vi-VN"/>
              </w:rPr>
              <w:t>ỘI CHỦ NGHĨA VIỆT NAM</w:t>
            </w:r>
            <w:r w:rsidRPr="005A5C31">
              <w:rPr>
                <w:rFonts w:ascii="Times New Roman" w:hAnsi="Times New Roman" w:cs="Times New Roman"/>
                <w:b/>
                <w:bCs/>
                <w:sz w:val="28"/>
                <w:szCs w:val="28"/>
                <w:lang w:val="vi-VN"/>
              </w:rPr>
              <w:br/>
              <w:t>Độc lập - Tự do - Hạnh ph</w:t>
            </w:r>
            <w:r w:rsidRPr="005A5C31">
              <w:rPr>
                <w:rFonts w:ascii="Times New Roman" w:hAnsi="Times New Roman" w:cs="Times New Roman"/>
                <w:b/>
                <w:bCs/>
                <w:sz w:val="28"/>
                <w:szCs w:val="28"/>
              </w:rPr>
              <w:t>úc</w:t>
            </w:r>
          </w:p>
        </w:tc>
      </w:tr>
      <w:tr w:rsidR="00B01E42" w:rsidRPr="00F03117" w14:paraId="1575D650" w14:textId="77777777" w:rsidTr="003D0F82">
        <w:tc>
          <w:tcPr>
            <w:tcW w:w="4678" w:type="dxa"/>
          </w:tcPr>
          <w:p w14:paraId="646C4A4D" w14:textId="0E543763" w:rsidR="00B01E42" w:rsidRPr="00C54591" w:rsidRDefault="00B01E42" w:rsidP="003D0F82">
            <w:pPr>
              <w:jc w:val="center"/>
              <w:rPr>
                <w:rFonts w:ascii="Times New Roman" w:hAnsi="Times New Roman" w:cs="Times New Roman"/>
                <w:sz w:val="26"/>
                <w:szCs w:val="26"/>
                <w:lang w:val="en"/>
              </w:rPr>
            </w:pPr>
          </w:p>
        </w:tc>
        <w:tc>
          <w:tcPr>
            <w:tcW w:w="5670" w:type="dxa"/>
          </w:tcPr>
          <w:p w14:paraId="296B53AD" w14:textId="77777777" w:rsidR="00B01E42" w:rsidRPr="00F03117" w:rsidRDefault="00B01E42" w:rsidP="003D0F82">
            <w:pPr>
              <w:jc w:val="center"/>
              <w:rPr>
                <w:rFonts w:ascii="Times New Roman" w:hAnsi="Times New Roman" w:cs="Times New Roman"/>
                <w:i/>
                <w:iCs/>
                <w:sz w:val="28"/>
                <w:szCs w:val="28"/>
                <w:lang w:val="en"/>
              </w:rPr>
            </w:pPr>
            <w:r w:rsidRPr="00F03117">
              <w:rPr>
                <w:rFonts w:ascii="Times New Roman" w:hAnsi="Times New Roman" w:cs="Times New Roman"/>
                <w:i/>
                <w:iCs/>
                <w:sz w:val="28"/>
                <w:szCs w:val="28"/>
                <w:lang w:val="en"/>
              </w:rPr>
              <w:t xml:space="preserve">Hà Nội, ngày  </w:t>
            </w:r>
            <w:r>
              <w:rPr>
                <w:rFonts w:ascii="Times New Roman" w:hAnsi="Times New Roman" w:cs="Times New Roman"/>
                <w:i/>
                <w:iCs/>
                <w:sz w:val="28"/>
                <w:szCs w:val="28"/>
                <w:lang w:val="en"/>
              </w:rPr>
              <w:t xml:space="preserve">  </w:t>
            </w:r>
            <w:r w:rsidRPr="00F03117">
              <w:rPr>
                <w:rFonts w:ascii="Times New Roman" w:hAnsi="Times New Roman" w:cs="Times New Roman"/>
                <w:i/>
                <w:iCs/>
                <w:sz w:val="28"/>
                <w:szCs w:val="28"/>
                <w:lang w:val="en"/>
              </w:rPr>
              <w:t xml:space="preserve">   tháng</w:t>
            </w:r>
            <w:r>
              <w:rPr>
                <w:rFonts w:ascii="Times New Roman" w:hAnsi="Times New Roman" w:cs="Times New Roman"/>
                <w:i/>
                <w:iCs/>
                <w:sz w:val="28"/>
                <w:szCs w:val="28"/>
                <w:lang w:val="en"/>
              </w:rPr>
              <w:t xml:space="preserve">       </w:t>
            </w:r>
            <w:r w:rsidRPr="00F03117">
              <w:rPr>
                <w:rFonts w:ascii="Times New Roman" w:hAnsi="Times New Roman" w:cs="Times New Roman"/>
                <w:i/>
                <w:iCs/>
                <w:sz w:val="28"/>
                <w:szCs w:val="28"/>
                <w:lang w:val="en"/>
              </w:rPr>
              <w:t>năm</w:t>
            </w:r>
            <w:r>
              <w:rPr>
                <w:rFonts w:ascii="Times New Roman" w:hAnsi="Times New Roman" w:cs="Times New Roman"/>
                <w:i/>
                <w:iCs/>
                <w:sz w:val="28"/>
                <w:szCs w:val="28"/>
                <w:lang w:val="en"/>
              </w:rPr>
              <w:t xml:space="preserve"> 2026</w:t>
            </w:r>
          </w:p>
        </w:tc>
      </w:tr>
    </w:tbl>
    <w:p w14:paraId="5DBDFC5D" w14:textId="77777777" w:rsidR="00B01E42" w:rsidRDefault="00B01E42">
      <w:pPr>
        <w:spacing w:before="120" w:after="60" w:line="340" w:lineRule="exact"/>
        <w:jc w:val="center"/>
        <w:rPr>
          <w:b/>
          <w:bCs/>
        </w:rPr>
      </w:pPr>
    </w:p>
    <w:p w14:paraId="3B3DE3F4" w14:textId="5C875BB1" w:rsidR="003B3565" w:rsidRDefault="00000000">
      <w:pPr>
        <w:spacing w:before="120" w:after="60" w:line="340" w:lineRule="exact"/>
        <w:jc w:val="center"/>
      </w:pPr>
      <w:r>
        <w:rPr>
          <w:b/>
          <w:bCs/>
        </w:rPr>
        <w:t>BẢN ĐÁNH GIÁ THỦ TỤC HÀNH CHÍNH,</w:t>
      </w:r>
    </w:p>
    <w:p w14:paraId="505EE9A5" w14:textId="77777777" w:rsidR="003B3565" w:rsidRPr="00CD473C" w:rsidRDefault="00000000">
      <w:pPr>
        <w:spacing w:after="240" w:line="340" w:lineRule="exact"/>
        <w:jc w:val="center"/>
        <w:rPr>
          <w:spacing w:val="-4"/>
        </w:rPr>
      </w:pPr>
      <w:r w:rsidRPr="00CD473C">
        <w:rPr>
          <w:b/>
          <w:bCs/>
          <w:spacing w:val="-4"/>
        </w:rPr>
        <w:t>VIỆC PHÂN QUYỀN, PHÂN CẤP, VIỆC ỨNG DỤNG, THÚC ĐẨY PHÁT TRIỂN KHOA HỌC, CÔNG NGHỆ, ĐỔI MỚI SÁNG TẠO VÀ CHUYỂN ĐỔI SỐ, BẢO ĐẢM BÌNH ĐẲNG GIỚI, VIỆC THỰC HIỆN CHÍNH SÁCH DÂN TỘC TRONG DỰ THẢO THÔNG TƯ QUY ĐỊNH ĐỊNH MỨC KINH TẾ - KỸ THUẬT TRONG LĨNH VỰC LÂM NGHIỆP VÀ KIỂM LÂM</w:t>
      </w:r>
    </w:p>
    <w:p w14:paraId="64364F42" w14:textId="77777777" w:rsidR="003B3565" w:rsidRDefault="00000000" w:rsidP="00B01E42">
      <w:pPr>
        <w:spacing w:before="120" w:after="120" w:line="360" w:lineRule="exact"/>
        <w:ind w:firstLine="567"/>
        <w:jc w:val="both"/>
      </w:pPr>
      <w:r>
        <w:t>Thực hiện Luật Ban hành văn bản quy phạm pháp luật năm 2025 và các văn bản hướng dẫn thi hành Luật; Kế hoạch xây dựng văn bản quy phạm pháp luật năm 2026 của Bộ Nông nghiệp và Môi trường. Cục Lâm nghiệp và Kiểm lâm đã tiến hành đánh giá thủ tục hành chính trong dự thảo Thông tư quy định định mức kinh tế - kỹ thuật trong lĩnh vực lâm nghiệp và kiểm lâm (dự thảo Thông tư). Kết quả như sau:</w:t>
      </w:r>
    </w:p>
    <w:p w14:paraId="128B7B89" w14:textId="77777777" w:rsidR="003B3565" w:rsidRDefault="00000000" w:rsidP="00B01E42">
      <w:pPr>
        <w:spacing w:before="120" w:after="120" w:line="360" w:lineRule="exact"/>
        <w:ind w:firstLine="567"/>
      </w:pPr>
      <w:r>
        <w:rPr>
          <w:b/>
          <w:bCs/>
        </w:rPr>
        <w:t>I. TỔ CHỨC THỰC HIỆN ĐÁNH GIÁ</w:t>
      </w:r>
    </w:p>
    <w:p w14:paraId="0C0EE11C" w14:textId="77777777" w:rsidR="003B3565" w:rsidRDefault="00000000" w:rsidP="00B01E42">
      <w:pPr>
        <w:spacing w:before="120" w:after="120" w:line="360" w:lineRule="exact"/>
        <w:ind w:firstLine="567"/>
      </w:pPr>
      <w:r>
        <w:rPr>
          <w:b/>
          <w:bCs/>
        </w:rPr>
        <w:t>1. Bối cảnh xây dựng dự thảo văn bản quy phạm pháp luật</w:t>
      </w:r>
    </w:p>
    <w:p w14:paraId="31DE9456" w14:textId="77777777" w:rsidR="003B3565" w:rsidRDefault="00000000" w:rsidP="00B01E42">
      <w:pPr>
        <w:spacing w:before="120" w:after="120" w:line="360" w:lineRule="exact"/>
        <w:ind w:firstLine="567"/>
        <w:jc w:val="both"/>
      </w:pPr>
      <w:r>
        <w:t>Thực hiện các chủ trương của Đảng, Quốc hội, Chính phủ về tiếp tục hoàn thiện hệ thống pháp luật, đẩy mạnh cải cách hành chính, phân quyền, phân cấp, ứng dụng khoa học, công nghệ, đổi mới sáng tạo và chuyển đổi số; đồng thời triển khai Luật Ban hành văn bản quy phạm pháp luật năm 2025, Luật Lâm nghiệp và Quyết định số 1818/QĐ-BNNMT ngày 20/5/2026 của Bộ trưởng Bộ Nông nghiệp và Môi trường về bổ sung Kế hoạch xây dựng văn bản quy phạm pháp luật năm 2026, Cục Lâm nghiệp và Kiểm lâm được giao chủ trì xây dựng dự thảo Thông tư quy định định mức kinh tế - kỹ thuật trong lĩnh vực lâm nghiệp và kiểm lâm.</w:t>
      </w:r>
    </w:p>
    <w:p w14:paraId="42ED84AE" w14:textId="1C8CF949" w:rsidR="003B3565" w:rsidRDefault="00000000" w:rsidP="00B01E42">
      <w:pPr>
        <w:spacing w:before="120" w:after="120" w:line="360" w:lineRule="exact"/>
        <w:ind w:firstLine="567"/>
        <w:jc w:val="both"/>
      </w:pPr>
      <w:r>
        <w:t>Dự thảo Thông tư được xây dựng trên cơ sở rà soát, hợp nhất, thay thế 08 văn bản quy định về định mức kinh tế - kỹ thuật trong lĩnh vực lâm nghiệp và kiểm lâm, gồm: Thông tư số 21/2023/TT-BNNPTNT, Thông tư số 05/2024/TT-BNNPTNT, Thông tư số 11/2024/TT-BNNPTNT, Thông tư số 23/2024/TT-BNNPTNT, Thông tư số 58/2025/TT-BNNMT, Quyết định số 38/2005/QĐ-BNN, Quyết định số 20/2006/QĐ-BNN và Quyết định số 400/LĐ-QĐ ngày 26/4/1982 của Bộ trưởng Bộ Lâm nghiệp; trong đó một số văn bản đã ban hành từ lâu, nhiều nội dung không còn phù hợp với thực tiễn sản xuất lâm nghiệp, trình độ công nghệ và tổ chức bộ máy chính quyền địa phương 02 cấp hiện nay.</w:t>
      </w:r>
    </w:p>
    <w:p w14:paraId="2D07CE18" w14:textId="77777777" w:rsidR="003B3565" w:rsidRDefault="00000000" w:rsidP="00B01E42">
      <w:pPr>
        <w:spacing w:before="120" w:after="120" w:line="360" w:lineRule="exact"/>
        <w:ind w:firstLine="567"/>
        <w:jc w:val="both"/>
      </w:pPr>
      <w:r>
        <w:t xml:space="preserve">Quá trình xây dựng dự thảo Thông tư, Cục Lâm nghiệp và Kiểm lâm đã thực hiện đầy đủ trình tự, thủ tục theo quy định của Luật Ban hành văn bản quy phạm </w:t>
      </w:r>
      <w:r>
        <w:lastRenderedPageBreak/>
        <w:t>pháp luật năm 2025 và Nghị định số 78/2025/NĐ-CP ngày 01/4/2025 của Chính phủ (được sửa đổi, bổ sung tại Nghị định số 187/2025/NĐ-CP), đồng thời lồng ghép việc rà soát, đánh giá thủ tục hành chính để bảo đảm dự thảo Thông tư không làm phát sinh thủ tục hành chính, không tạo thêm gánh nặng tuân thủ cho người dân, doanh nghiệp, phù hợp yêu cầu cải cách thủ tục hành chính và chuyển đổi số.</w:t>
      </w:r>
    </w:p>
    <w:p w14:paraId="1F7A421E" w14:textId="77777777" w:rsidR="003B3565" w:rsidRDefault="00000000" w:rsidP="00B01E42">
      <w:pPr>
        <w:spacing w:before="120" w:after="120" w:line="360" w:lineRule="exact"/>
        <w:ind w:firstLine="567"/>
      </w:pPr>
      <w:r>
        <w:rPr>
          <w:b/>
          <w:bCs/>
        </w:rPr>
        <w:t>2. Mục đích, yêu cầu đánh giá</w:t>
      </w:r>
    </w:p>
    <w:p w14:paraId="304732BF" w14:textId="77777777" w:rsidR="003B3565" w:rsidRDefault="00000000" w:rsidP="00B01E42">
      <w:pPr>
        <w:spacing w:before="120" w:after="120" w:line="360" w:lineRule="exact"/>
        <w:ind w:firstLine="567"/>
        <w:jc w:val="both"/>
      </w:pPr>
      <w:r>
        <w:t>a) Mục đích:</w:t>
      </w:r>
    </w:p>
    <w:p w14:paraId="3672858E" w14:textId="77777777" w:rsidR="003B3565" w:rsidRDefault="00000000" w:rsidP="00B01E42">
      <w:pPr>
        <w:spacing w:before="120" w:after="120" w:line="360" w:lineRule="exact"/>
        <w:ind w:firstLine="567"/>
        <w:jc w:val="both"/>
      </w:pPr>
      <w:r>
        <w:t>- Rà soát toàn bộ nội dung dự thảo Thông tư để xác định dự thảo có quy định thủ tục hành chính hay không; bảo đảm không quy định thủ tục hành chính mới ngoài phạm vi được luật, nghị quyết của Quốc hội giao theo quy định của Luật Ban hành văn bản quy phạm pháp luật năm 2025.</w:t>
      </w:r>
    </w:p>
    <w:p w14:paraId="627A6CF4" w14:textId="77777777" w:rsidR="003B3565" w:rsidRDefault="00000000" w:rsidP="00B01E42">
      <w:pPr>
        <w:spacing w:before="120" w:after="120" w:line="360" w:lineRule="exact"/>
        <w:ind w:firstLine="567"/>
        <w:jc w:val="both"/>
      </w:pPr>
      <w:r>
        <w:t>- Bảo đảm hệ thống định mức kinh tế - kỹ thuật được quy định thống nhất, đồng bộ trong một văn bản; loại bỏ chồng chéo, mâu thuẫn giữa các văn bản hiện hành; chuẩn hóa cách thức áp dụng định mức, làm rõ trách nhiệm giữa trung ương với địa phương và giữa các cấp chính quyền địa phương trong tổ chức thực hiện.</w:t>
      </w:r>
    </w:p>
    <w:p w14:paraId="0DB2BAB7" w14:textId="77777777" w:rsidR="003B3565" w:rsidRDefault="00000000" w:rsidP="00B01E42">
      <w:pPr>
        <w:spacing w:before="120" w:after="120" w:line="360" w:lineRule="exact"/>
        <w:ind w:firstLine="567"/>
        <w:jc w:val="both"/>
      </w:pPr>
      <w:r>
        <w:t>- Giảm số lượng văn bản phải tra cứu, áp dụng; cắt giảm thời gian, chi phí tuân thủ cho cơ quan, tổ chức, cá nhân khi lập thiết kế, dự toán các hoạt động lâm nghiệp và kiểm lâm sử dụng ngân sách nhà nước.</w:t>
      </w:r>
    </w:p>
    <w:p w14:paraId="1CB1AB71" w14:textId="77777777" w:rsidR="003B3565" w:rsidRDefault="00000000" w:rsidP="00B01E42">
      <w:pPr>
        <w:spacing w:before="120" w:after="120" w:line="360" w:lineRule="exact"/>
        <w:ind w:firstLine="567"/>
        <w:jc w:val="both"/>
      </w:pPr>
      <w:r>
        <w:t>b) Yêu cầu:</w:t>
      </w:r>
    </w:p>
    <w:p w14:paraId="670AC0ED" w14:textId="77777777" w:rsidR="003B3565" w:rsidRDefault="00000000" w:rsidP="00B01E42">
      <w:pPr>
        <w:spacing w:before="120" w:after="120" w:line="360" w:lineRule="exact"/>
        <w:ind w:firstLine="567"/>
        <w:jc w:val="both"/>
      </w:pPr>
      <w:r>
        <w:t>- Các quy định bảo đảm thể chế hóa chủ trương của Đảng và tuân thủ quy định tại các văn bản quy phạm pháp luật có liên quan; việc hợp nhất, đơn giản hóa không làm giảm chất lượng quản lý nhà nước về lâm nghiệp và kiểm lâm, bảo đảm mục tiêu phát triển ngành lâm nghiệp bền vững, hiện đại.</w:t>
      </w:r>
    </w:p>
    <w:p w14:paraId="22982AC0" w14:textId="77777777" w:rsidR="003B3565" w:rsidRDefault="00000000" w:rsidP="00B01E42">
      <w:pPr>
        <w:spacing w:before="120" w:after="120" w:line="360" w:lineRule="exact"/>
        <w:ind w:firstLine="567"/>
        <w:jc w:val="both"/>
      </w:pPr>
      <w:r>
        <w:t>- Đánh giá đầy đủ toàn bộ nội dung dự thảo Thông tư và các Phụ lục kèm theo; xác định rõ nội dung nào là quy định về định mức chuyên môn, kỹ thuật, nội dung nào (nếu có) cấu thành thủ tục hành chính theo quy định về kiểm soát thủ tục hành chính.</w:t>
      </w:r>
    </w:p>
    <w:p w14:paraId="42ACDBBF" w14:textId="77777777" w:rsidR="003B3565" w:rsidRDefault="00000000" w:rsidP="00B01E42">
      <w:pPr>
        <w:spacing w:before="120" w:after="120" w:line="360" w:lineRule="exact"/>
        <w:ind w:firstLine="567"/>
        <w:jc w:val="both"/>
      </w:pPr>
      <w:r>
        <w:t>- Bảo đảm nguyên tắc phân cấp, phân quyền hợp lý; trung ương ban hành định mức khung áp dụng thống nhất, địa phương chủ động quyết định đơn giá, dự toán và tổ chức thực hiện phù hợp điều kiện thực tế.</w:t>
      </w:r>
    </w:p>
    <w:p w14:paraId="7C76F99D" w14:textId="77777777" w:rsidR="003B3565" w:rsidRDefault="00000000" w:rsidP="00B01E42">
      <w:pPr>
        <w:spacing w:before="120" w:after="120" w:line="360" w:lineRule="exact"/>
        <w:ind w:firstLine="567"/>
        <w:jc w:val="both"/>
      </w:pPr>
      <w:r>
        <w:t>- Khuyến khích ứng dụng khoa học, công nghệ và chuyển đổi số trong thực hiện các hoạt động lâm nghiệp, kiểm lâm thuộc phạm vi điều chỉnh của dự thảo Thông tư.</w:t>
      </w:r>
    </w:p>
    <w:p w14:paraId="7B52E3F5" w14:textId="77777777" w:rsidR="003B3565" w:rsidRDefault="00000000" w:rsidP="00B01E42">
      <w:pPr>
        <w:spacing w:before="120" w:after="120" w:line="360" w:lineRule="exact"/>
        <w:ind w:firstLine="567"/>
      </w:pPr>
      <w:r>
        <w:rPr>
          <w:b/>
          <w:bCs/>
        </w:rPr>
        <w:t>II. KẾT QUẢ ĐÁNH GIÁ</w:t>
      </w:r>
    </w:p>
    <w:p w14:paraId="36002BCF" w14:textId="77777777" w:rsidR="003B3565" w:rsidRDefault="00000000" w:rsidP="00B01E42">
      <w:pPr>
        <w:spacing w:before="120" w:after="120" w:line="360" w:lineRule="exact"/>
        <w:ind w:firstLine="567"/>
      </w:pPr>
      <w:r>
        <w:rPr>
          <w:b/>
          <w:bCs/>
        </w:rPr>
        <w:t>1. Đánh giá thủ tục hành chính</w:t>
      </w:r>
    </w:p>
    <w:p w14:paraId="3F9D7D24" w14:textId="77777777" w:rsidR="003B3565" w:rsidRDefault="00000000" w:rsidP="00B01E42">
      <w:pPr>
        <w:spacing w:before="120" w:after="120" w:line="360" w:lineRule="exact"/>
        <w:ind w:firstLine="567"/>
        <w:jc w:val="both"/>
      </w:pPr>
      <w:r>
        <w:lastRenderedPageBreak/>
        <w:t>a) Về số lượng:</w:t>
      </w:r>
    </w:p>
    <w:p w14:paraId="17D698DC" w14:textId="77777777" w:rsidR="003B3565" w:rsidRDefault="00000000" w:rsidP="00B01E42">
      <w:pPr>
        <w:spacing w:before="120" w:after="120" w:line="360" w:lineRule="exact"/>
        <w:ind w:firstLine="567"/>
        <w:jc w:val="both"/>
      </w:pPr>
      <w:r>
        <w:t>- Dự thảo Thông tư không quy định thủ tục hành chính thuộc phạm vi điều chỉnh của Nghị định số 63/2010/NĐ-CP ngày 08/6/2010 của Chính phủ về kiểm soát thủ tục hành chính; không phát sinh thủ tục hành chính mới; không sửa đổi, bổ sung, thay thế hoặc bãi bỏ thủ tục hành chính hiện hành.</w:t>
      </w:r>
    </w:p>
    <w:p w14:paraId="1EB2EE0A" w14:textId="77777777" w:rsidR="003B3565" w:rsidRDefault="00000000" w:rsidP="00B01E42">
      <w:pPr>
        <w:spacing w:before="120" w:after="120" w:line="360" w:lineRule="exact"/>
        <w:ind w:firstLine="567"/>
        <w:jc w:val="both"/>
      </w:pPr>
      <w:r>
        <w:t>- Thủ tục hành chính nội bộ giữa các cơ quan hành chính nhà nước: Không.</w:t>
      </w:r>
    </w:p>
    <w:p w14:paraId="5162BF5D" w14:textId="77777777" w:rsidR="003B3565" w:rsidRDefault="00000000" w:rsidP="00B01E42">
      <w:pPr>
        <w:spacing w:before="120" w:after="120" w:line="360" w:lineRule="exact"/>
        <w:ind w:firstLine="567"/>
        <w:jc w:val="both"/>
      </w:pPr>
      <w:r>
        <w:t>b) Kết quả đánh giá:</w:t>
      </w:r>
    </w:p>
    <w:p w14:paraId="5454226F" w14:textId="77777777" w:rsidR="003B3565" w:rsidRPr="005305D4" w:rsidRDefault="00000000" w:rsidP="00B01E42">
      <w:pPr>
        <w:spacing w:before="120" w:after="120" w:line="360" w:lineRule="exact"/>
        <w:ind w:firstLine="567"/>
        <w:jc w:val="both"/>
        <w:rPr>
          <w:spacing w:val="-2"/>
        </w:rPr>
      </w:pPr>
      <w:r w:rsidRPr="005305D4">
        <w:rPr>
          <w:spacing w:val="-2"/>
        </w:rPr>
        <w:t>- Nội dung dự thảo Thông tư quy định mức hao phí cần thiết về lao động, vật tư, máy móc thiết bị để hoàn thành một đơn vị sản phẩm trong lĩnh vực lâm nghiệp và kiểm lâm, làm căn cứ lập thiết kế, dự toán, xây dựng kế hoạch và tổ chức thực hiện các hoạt động sử dụng ngân sách nhà nước hoặc nguồn thu hợp pháp của cơ quan nhà nước, đơn vị sự nghiệp công lập. Đây là các quy định mang tính chất định mức chuyên môn, kỹ thuật; không quy định trình tự, cách thức thực hiện, thành phần hồ sơ, yêu cầu, điều kiện, cơ quan giải quyết và kết quả giải quyết một công việc cụ thể cho tổ chức, cá nhân theo quy định về kiểm soát thủ tục hành chính.</w:t>
      </w:r>
    </w:p>
    <w:p w14:paraId="3AB9D963" w14:textId="77777777" w:rsidR="003B3565" w:rsidRDefault="00000000" w:rsidP="00B01E42">
      <w:pPr>
        <w:spacing w:before="120" w:after="120" w:line="360" w:lineRule="exact"/>
        <w:ind w:firstLine="567"/>
        <w:jc w:val="both"/>
      </w:pPr>
      <w:r>
        <w:t>- Các quy định về “trình tự thực hiện” tại Chương II dự thảo Thông tư (các Điều 5, 6, 7, 8, 9, 10, 11, 12, 13 và 14) là trình tự chuyên môn, kỹ thuật của từng hạng mục công việc lâm nghiệp, kiểm lâm (sản xuất giống cây trồng lâm nghiệp, biện pháp lâm sinh, điều tra rừng, kiểm kê rừng, theo dõi diễn biến rừng, phân định ranh giới rừng, giao rừng, cho thuê rừng, tuần tra bảo vệ rừng, khai thác gỗ và thực vật rừng ngoài gỗ), không phải trình tự giải quyết yêu cầu của tổ chức, cá nhân tại cơ quan hành chính nhà nước; do đó không cấu thành thủ tục hành chính.</w:t>
      </w:r>
    </w:p>
    <w:p w14:paraId="06D5755F" w14:textId="24F7BA8F" w:rsidR="003B3565" w:rsidRDefault="00000000" w:rsidP="00B01E42">
      <w:pPr>
        <w:spacing w:before="120" w:after="120" w:line="360" w:lineRule="exact"/>
        <w:ind w:firstLine="567"/>
        <w:jc w:val="both"/>
      </w:pPr>
      <w:r>
        <w:t>- Dự thảo Thông tư không làm phát sinh nghĩa vụ nộp hồ sơ, không tạo thêm đầu mối tiếp xúc hành chính giữa người dân, doanh nghiệp với cơ quan nhà nước. Việc hợp nhất 08 văn bản hiện hành thành một Thông tư giúp giảm số lượng văn bản phải tra cứu, áp dụng thống nhất trên phạm vi cả nước, khắc phục tình trạng định mức phân tán, qua đó gián tiếp giảm thời gian, chi phí tuân thủ pháp luật cho các cơ quan, tổ chức, cá nhân có liên quan.</w:t>
      </w:r>
    </w:p>
    <w:p w14:paraId="46047F26" w14:textId="77777777" w:rsidR="003B3565" w:rsidRDefault="00000000" w:rsidP="00B01E42">
      <w:pPr>
        <w:spacing w:before="120" w:after="120" w:line="360" w:lineRule="exact"/>
        <w:ind w:firstLine="567"/>
        <w:jc w:val="both"/>
      </w:pPr>
      <w:r>
        <w:t>c) Chi phí tuân thủ thủ tục hành chính:</w:t>
      </w:r>
    </w:p>
    <w:p w14:paraId="358EB324" w14:textId="77777777" w:rsidR="003B3565" w:rsidRDefault="00000000" w:rsidP="00B01E42">
      <w:pPr>
        <w:spacing w:before="120" w:after="120" w:line="360" w:lineRule="exact"/>
        <w:ind w:firstLine="567"/>
        <w:jc w:val="both"/>
      </w:pPr>
      <w:r>
        <w:t>Do dự thảo Thông tư không quy định thủ tục hành chính nên không phát sinh phí, lệ phí và chi phí tuân thủ thủ tục hành chính đối với tổ chức, cá nhân; không thuộc trường hợp phải tính toán chi phí tuân thủ thủ tục hành chính theo biểu mẫu đánh giá chi phí tuân thủ thủ tục hành chính.</w:t>
      </w:r>
    </w:p>
    <w:p w14:paraId="3E7B39DB" w14:textId="77777777" w:rsidR="003B3565" w:rsidRDefault="00000000" w:rsidP="00B01E42">
      <w:pPr>
        <w:spacing w:before="120" w:after="120" w:line="360" w:lineRule="exact"/>
        <w:ind w:firstLine="567"/>
      </w:pPr>
      <w:r>
        <w:rPr>
          <w:b/>
          <w:bCs/>
        </w:rPr>
        <w:t>2. Việc phân quyền, phân cấp</w:t>
      </w:r>
    </w:p>
    <w:p w14:paraId="18674EDE" w14:textId="77777777" w:rsidR="003B3565" w:rsidRDefault="00000000" w:rsidP="00B01E42">
      <w:pPr>
        <w:spacing w:before="120" w:after="120" w:line="360" w:lineRule="exact"/>
        <w:ind w:firstLine="567"/>
        <w:jc w:val="both"/>
      </w:pPr>
      <w:r>
        <w:t xml:space="preserve">Dự thảo Thông tư không quy định thẩm quyền giải quyết thủ tục hành chính, do đó không đặt ra việc phân quyền, phân cấp thẩm quyền giải quyết thủ tục hành </w:t>
      </w:r>
      <w:r>
        <w:lastRenderedPageBreak/>
        <w:t>chính. Tuy nhiên, dự thảo Thông tư được xây dựng theo hướng đẩy mạnh phân cấp, tăng tính chủ động của địa phương và cơ quan, đơn vị trực tiếp tổ chức thực hiện, cụ thể:</w:t>
      </w:r>
    </w:p>
    <w:p w14:paraId="4E4958FD" w14:textId="77777777" w:rsidR="003B3565" w:rsidRDefault="00000000" w:rsidP="00B01E42">
      <w:pPr>
        <w:spacing w:before="120" w:after="120" w:line="360" w:lineRule="exact"/>
        <w:ind w:firstLine="567"/>
        <w:jc w:val="both"/>
      </w:pPr>
      <w:r>
        <w:t>- Hệ số lương cụ thể cho từng công việc trong các bảng định mức do cơ quan phê duyệt dự toán quyết định (khoản 5 Điều 4 dự thảo Thông tư), bảo đảm phù hợp tính chất công việc và điều kiện của từng cơ quan, đơn vị.</w:t>
      </w:r>
    </w:p>
    <w:p w14:paraId="6EE7C08B" w14:textId="77777777" w:rsidR="003B3565" w:rsidRDefault="00000000" w:rsidP="00B01E42">
      <w:pPr>
        <w:spacing w:before="120" w:after="120" w:line="360" w:lineRule="exact"/>
        <w:ind w:firstLine="567"/>
        <w:jc w:val="both"/>
      </w:pPr>
      <w:r>
        <w:t>- Ủy ban nhân dân cấp tỉnh hằng năm ban hành văn bản công bố đơn giá ngày công lao động lâm nghiệp trên địa bàn tỉnh để làm căn cứ lập thiết kế, dự toán (điểm c khoản 4 Điều 15 dự thảo Thông tư); trung ương ban hành định mức khung thống nhất, địa phương quyết định đơn giá và bố trí kinh phí, tổ chức thực hiện, phù hợp chủ trương phân quyền, phân cấp và mô hình chính quyền địa phương 02 cấp.</w:t>
      </w:r>
    </w:p>
    <w:p w14:paraId="4BD27E25" w14:textId="77777777" w:rsidR="003B3565" w:rsidRDefault="00000000" w:rsidP="00B01E42">
      <w:pPr>
        <w:spacing w:before="120" w:after="120" w:line="360" w:lineRule="exact"/>
        <w:ind w:firstLine="567"/>
        <w:jc w:val="both"/>
      </w:pPr>
      <w:r>
        <w:t>- Đối với công việc chưa được quy định định mức kinh tế - kỹ thuật tại Thông tư (khoản 3 Điều 4) và trường hợp thiết kế mốc, bảng phân định ranh giới rừng sử dụng biện pháp thi công, định mức không quy định tại Thông tư (điểm c khoản 2 Điều 10), dự thảo giao cấp có thẩm quyền quyết định, bảo đảm linh hoạt trong tổ chức thực hiện, tránh phải chờ sửa đổi văn bản của trung ương.</w:t>
      </w:r>
    </w:p>
    <w:p w14:paraId="653E2FC6" w14:textId="77777777" w:rsidR="003B3565" w:rsidRDefault="00000000" w:rsidP="00B01E42">
      <w:pPr>
        <w:spacing w:before="120" w:after="120" w:line="360" w:lineRule="exact"/>
        <w:ind w:firstLine="567"/>
      </w:pPr>
      <w:r>
        <w:rPr>
          <w:b/>
          <w:bCs/>
        </w:rPr>
        <w:t>3. Việc ứng dụng, thúc đẩy phát triển khoa học, công nghệ, đổi mới sáng tạo và chuyển đổi số</w:t>
      </w:r>
    </w:p>
    <w:p w14:paraId="1DBBB312" w14:textId="77777777" w:rsidR="003B3565" w:rsidRDefault="00000000" w:rsidP="00B01E42">
      <w:pPr>
        <w:spacing w:before="120" w:after="120" w:line="360" w:lineRule="exact"/>
        <w:ind w:firstLine="567"/>
        <w:jc w:val="both"/>
      </w:pPr>
      <w:r>
        <w:t>Dự thảo Thông tư quy định nguyên tắc khuyến khích áp dụng khoa học công nghệ và chuyển đổi số để nâng cao chất lượng và giảm thời gian thực hiện các hoạt động lâm nghiệp, kiểm lâm; giá trị thực hiện được xác định trên cơ sở kết quả, sản phẩm và dự toán được cấp có thẩm quyền phê duyệt (khoản 4 Điều 4 dự thảo Thông tư). Quy định này tạo cơ chế mở để cơ quan, tổ chức, cá nhân chủ động đổi mới công nghệ, phương thức thực hiện mà không bị ràng buộc cứng bởi mức hao phí theo phương pháp truyền thống.</w:t>
      </w:r>
    </w:p>
    <w:p w14:paraId="44D181D8" w14:textId="3F436725" w:rsidR="003B3565" w:rsidRDefault="00000000" w:rsidP="00B01E42">
      <w:pPr>
        <w:spacing w:before="120" w:after="120" w:line="360" w:lineRule="exact"/>
        <w:ind w:firstLine="567"/>
        <w:jc w:val="both"/>
      </w:pPr>
      <w:r>
        <w:t xml:space="preserve">Đồng thời, hệ thống định mức tại các Phụ lục ban hành kèm theo dự thảo Thông tư được rà soát, cập nhật theo hướng phù hợp với việc ứng dụng máy móc, thiết bị, công nghệ mới trong điều tra rừng, kiểm kê rừng, theo dõi diễn biến rừng và thiết kế khai thác rừng. </w:t>
      </w:r>
    </w:p>
    <w:p w14:paraId="346F202C" w14:textId="77777777" w:rsidR="003B3565" w:rsidRDefault="00000000" w:rsidP="00B01E42">
      <w:pPr>
        <w:spacing w:before="120" w:after="120" w:line="360" w:lineRule="exact"/>
        <w:ind w:firstLine="567"/>
      </w:pPr>
      <w:r>
        <w:rPr>
          <w:b/>
          <w:bCs/>
        </w:rPr>
        <w:t>4. Việc bảo đảm bình đẳng giới</w:t>
      </w:r>
    </w:p>
    <w:p w14:paraId="2632169F" w14:textId="77777777" w:rsidR="003B3565" w:rsidRDefault="00000000" w:rsidP="00B01E42">
      <w:pPr>
        <w:spacing w:before="120" w:after="120" w:line="360" w:lineRule="exact"/>
        <w:ind w:firstLine="567"/>
        <w:jc w:val="both"/>
      </w:pPr>
      <w:r>
        <w:t>Dự thảo Thông tư không có quy định liên quan đến bình đẳng giới. Các nội dung của dự thảo Thông tư không ảnh hưởng đến cơ hội, điều kiện, năng lực thực hiện và thụ hưởng các quyền, lợi ích của mỗi giới do được áp dụng chung, không có sự phân biệt về giới, theo đó bảo đảm nam, nữ bình đẳng trong việc tham gia vào các hoạt động thuộc phạm vi điều chỉnh của dự thảo Thông tư.</w:t>
      </w:r>
    </w:p>
    <w:p w14:paraId="6A9A950C" w14:textId="77777777" w:rsidR="003B3565" w:rsidRDefault="00000000" w:rsidP="00B01E42">
      <w:pPr>
        <w:spacing w:before="120" w:after="120" w:line="360" w:lineRule="exact"/>
        <w:ind w:firstLine="567"/>
      </w:pPr>
      <w:r>
        <w:rPr>
          <w:b/>
          <w:bCs/>
        </w:rPr>
        <w:lastRenderedPageBreak/>
        <w:t>5. Việc thực hiện chính sách dân tộc</w:t>
      </w:r>
    </w:p>
    <w:p w14:paraId="4754CB8B" w14:textId="77777777" w:rsidR="003B3565" w:rsidRPr="008F76C5" w:rsidRDefault="00000000" w:rsidP="00B01E42">
      <w:pPr>
        <w:spacing w:before="120" w:after="120" w:line="360" w:lineRule="exact"/>
        <w:ind w:firstLine="567"/>
        <w:jc w:val="both"/>
        <w:rPr>
          <w:spacing w:val="-4"/>
        </w:rPr>
      </w:pPr>
      <w:r w:rsidRPr="008F76C5">
        <w:rPr>
          <w:spacing w:val="-4"/>
        </w:rPr>
        <w:t>Dự thảo Thông tư không có quy định riêng liên quan đến chính sách dân tộc. Định mức kinh tế - kỹ thuật được áp dụng thống nhất đối với cơ quan nhà nước, tổ chức, cá nhân, hộ gia đình, cộng đồng dân cư có hoạt động thuộc phạm vi điều chỉnh của Thông tư, không phân biệt thành phần dân tộc; không làm ảnh hưởng đến quyền, lợi ích hợp pháp của đồng bào dân tộc thiểu số tham gia hoạt động lâm nghiệp.</w:t>
      </w:r>
    </w:p>
    <w:p w14:paraId="1B1179B3" w14:textId="77777777" w:rsidR="003B3565" w:rsidRDefault="00000000" w:rsidP="00B01E42">
      <w:pPr>
        <w:spacing w:before="120" w:after="120" w:line="360" w:lineRule="exact"/>
        <w:ind w:firstLine="567"/>
        <w:jc w:val="both"/>
      </w:pPr>
      <w:r>
        <w:t>Trên đây là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Thông tư quy định định mức kinh tế - kỹ thuật trong lĩnh vực lâm nghiệp và kiểm lâm./.</w:t>
      </w:r>
    </w:p>
    <w:p w14:paraId="08769894" w14:textId="77777777" w:rsidR="003B3565" w:rsidRDefault="003B3565">
      <w:pPr>
        <w:spacing w:before="120"/>
      </w:pPr>
    </w:p>
    <w:tbl>
      <w:tblPr>
        <w:tblW w:w="9215" w:type="dxa"/>
        <w:tblCellMar>
          <w:left w:w="10" w:type="dxa"/>
          <w:right w:w="10" w:type="dxa"/>
        </w:tblCellMar>
        <w:tblLook w:val="0000" w:firstRow="0" w:lastRow="0" w:firstColumn="0" w:lastColumn="0" w:noHBand="0" w:noVBand="0"/>
      </w:tblPr>
      <w:tblGrid>
        <w:gridCol w:w="4395"/>
        <w:gridCol w:w="4820"/>
      </w:tblGrid>
      <w:tr w:rsidR="003B3565" w14:paraId="67F6FBCA" w14:textId="77777777" w:rsidTr="008F76C5">
        <w:tblPrEx>
          <w:tblCellMar>
            <w:top w:w="0" w:type="dxa"/>
            <w:bottom w:w="0" w:type="dxa"/>
          </w:tblCellMar>
        </w:tblPrEx>
        <w:tc>
          <w:tcPr>
            <w:tcW w:w="4395" w:type="dxa"/>
          </w:tcPr>
          <w:p w14:paraId="48C8235B" w14:textId="77777777" w:rsidR="003B3565" w:rsidRDefault="003B3565"/>
        </w:tc>
        <w:tc>
          <w:tcPr>
            <w:tcW w:w="4820" w:type="dxa"/>
          </w:tcPr>
          <w:p w14:paraId="41013FBD" w14:textId="77777777" w:rsidR="003B3565" w:rsidRDefault="00000000">
            <w:pPr>
              <w:spacing w:before="240"/>
              <w:jc w:val="center"/>
            </w:pPr>
            <w:r>
              <w:rPr>
                <w:b/>
                <w:bCs/>
              </w:rPr>
              <w:t>CỤC LÂM NGHIỆP VÀ KIỂM LÂM</w:t>
            </w:r>
          </w:p>
        </w:tc>
      </w:tr>
    </w:tbl>
    <w:p w14:paraId="09267530" w14:textId="77777777" w:rsidR="00FB06F1" w:rsidRDefault="00FB06F1"/>
    <w:sectPr w:rsidR="00FB06F1" w:rsidSect="00B01E42">
      <w:headerReference w:type="default" r:id="rId7"/>
      <w:pgSz w:w="11907" w:h="16839"/>
      <w:pgMar w:top="1134" w:right="1134" w:bottom="1134" w:left="1701" w:header="708"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A0BFC" w14:textId="77777777" w:rsidR="00FB06F1" w:rsidRDefault="00FB06F1" w:rsidP="00B01E42">
      <w:r>
        <w:separator/>
      </w:r>
    </w:p>
  </w:endnote>
  <w:endnote w:type="continuationSeparator" w:id="0">
    <w:p w14:paraId="35B2F997" w14:textId="77777777" w:rsidR="00FB06F1" w:rsidRDefault="00FB06F1" w:rsidP="00B0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BD42E" w14:textId="77777777" w:rsidR="00FB06F1" w:rsidRDefault="00FB06F1" w:rsidP="00B01E42">
      <w:r>
        <w:separator/>
      </w:r>
    </w:p>
  </w:footnote>
  <w:footnote w:type="continuationSeparator" w:id="0">
    <w:p w14:paraId="665F9CA7" w14:textId="77777777" w:rsidR="00FB06F1" w:rsidRDefault="00FB06F1" w:rsidP="00B0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650390"/>
      <w:docPartObj>
        <w:docPartGallery w:val="Page Numbers (Top of Page)"/>
        <w:docPartUnique/>
      </w:docPartObj>
    </w:sdtPr>
    <w:sdtEndPr>
      <w:rPr>
        <w:noProof/>
      </w:rPr>
    </w:sdtEndPr>
    <w:sdtContent>
      <w:p w14:paraId="701C300C" w14:textId="48412065" w:rsidR="00B01E42" w:rsidRDefault="00B01E4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88177C6" w14:textId="77777777" w:rsidR="00B01E42" w:rsidRDefault="00B01E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708A8"/>
    <w:multiLevelType w:val="hybridMultilevel"/>
    <w:tmpl w:val="95C07C48"/>
    <w:lvl w:ilvl="0" w:tplc="540840AA">
      <w:start w:val="1"/>
      <w:numFmt w:val="bullet"/>
      <w:lvlText w:val="●"/>
      <w:lvlJc w:val="left"/>
      <w:pPr>
        <w:ind w:left="720" w:hanging="360"/>
      </w:pPr>
    </w:lvl>
    <w:lvl w:ilvl="1" w:tplc="03F63070">
      <w:start w:val="1"/>
      <w:numFmt w:val="bullet"/>
      <w:lvlText w:val="○"/>
      <w:lvlJc w:val="left"/>
      <w:pPr>
        <w:ind w:left="1440" w:hanging="360"/>
      </w:pPr>
    </w:lvl>
    <w:lvl w:ilvl="2" w:tplc="94945FAA">
      <w:start w:val="1"/>
      <w:numFmt w:val="bullet"/>
      <w:lvlText w:val="■"/>
      <w:lvlJc w:val="left"/>
      <w:pPr>
        <w:ind w:left="2160" w:hanging="360"/>
      </w:pPr>
    </w:lvl>
    <w:lvl w:ilvl="3" w:tplc="5DAE3FA6">
      <w:start w:val="1"/>
      <w:numFmt w:val="bullet"/>
      <w:lvlText w:val="●"/>
      <w:lvlJc w:val="left"/>
      <w:pPr>
        <w:ind w:left="2880" w:hanging="360"/>
      </w:pPr>
    </w:lvl>
    <w:lvl w:ilvl="4" w:tplc="4902377E">
      <w:start w:val="1"/>
      <w:numFmt w:val="bullet"/>
      <w:lvlText w:val="○"/>
      <w:lvlJc w:val="left"/>
      <w:pPr>
        <w:ind w:left="3600" w:hanging="360"/>
      </w:pPr>
    </w:lvl>
    <w:lvl w:ilvl="5" w:tplc="4C5CC396">
      <w:start w:val="1"/>
      <w:numFmt w:val="bullet"/>
      <w:lvlText w:val="■"/>
      <w:lvlJc w:val="left"/>
      <w:pPr>
        <w:ind w:left="4320" w:hanging="360"/>
      </w:pPr>
    </w:lvl>
    <w:lvl w:ilvl="6" w:tplc="D1788230">
      <w:start w:val="1"/>
      <w:numFmt w:val="bullet"/>
      <w:lvlText w:val="●"/>
      <w:lvlJc w:val="left"/>
      <w:pPr>
        <w:ind w:left="5040" w:hanging="360"/>
      </w:pPr>
    </w:lvl>
    <w:lvl w:ilvl="7" w:tplc="0082F85E">
      <w:start w:val="1"/>
      <w:numFmt w:val="bullet"/>
      <w:lvlText w:val="●"/>
      <w:lvlJc w:val="left"/>
      <w:pPr>
        <w:ind w:left="5760" w:hanging="360"/>
      </w:pPr>
    </w:lvl>
    <w:lvl w:ilvl="8" w:tplc="D2C44ACE">
      <w:start w:val="1"/>
      <w:numFmt w:val="bullet"/>
      <w:lvlText w:val="●"/>
      <w:lvlJc w:val="left"/>
      <w:pPr>
        <w:ind w:left="6480" w:hanging="360"/>
      </w:pPr>
    </w:lvl>
  </w:abstractNum>
  <w:num w:numId="1" w16cid:durableId="1608253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565"/>
    <w:rsid w:val="002B3734"/>
    <w:rsid w:val="003B3565"/>
    <w:rsid w:val="004C0DBB"/>
    <w:rsid w:val="005305D4"/>
    <w:rsid w:val="008F76C5"/>
    <w:rsid w:val="00B01E42"/>
    <w:rsid w:val="00CD473C"/>
    <w:rsid w:val="00FB0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921D"/>
  <w15:docId w15:val="{9840E53D-B89B-40E3-ACBB-713BD5DA3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B01E42"/>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1E42"/>
    <w:pPr>
      <w:tabs>
        <w:tab w:val="center" w:pos="4680"/>
        <w:tab w:val="right" w:pos="9360"/>
      </w:tabs>
    </w:pPr>
  </w:style>
  <w:style w:type="character" w:customStyle="1" w:styleId="HeaderChar">
    <w:name w:val="Header Char"/>
    <w:basedOn w:val="DefaultParagraphFont"/>
    <w:link w:val="Header"/>
    <w:uiPriority w:val="99"/>
    <w:rsid w:val="00B01E42"/>
  </w:style>
  <w:style w:type="paragraph" w:styleId="Footer">
    <w:name w:val="footer"/>
    <w:basedOn w:val="Normal"/>
    <w:link w:val="FooterChar"/>
    <w:uiPriority w:val="99"/>
    <w:unhideWhenUsed/>
    <w:rsid w:val="00B01E42"/>
    <w:pPr>
      <w:tabs>
        <w:tab w:val="center" w:pos="4680"/>
        <w:tab w:val="right" w:pos="9360"/>
      </w:tabs>
    </w:pPr>
  </w:style>
  <w:style w:type="character" w:customStyle="1" w:styleId="FooterChar">
    <w:name w:val="Footer Char"/>
    <w:basedOn w:val="DefaultParagraphFont"/>
    <w:link w:val="Footer"/>
    <w:uiPriority w:val="99"/>
    <w:rsid w:val="00B01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Khuong Nguyen</cp:lastModifiedBy>
  <cp:revision>4</cp:revision>
  <dcterms:created xsi:type="dcterms:W3CDTF">2026-07-23T10:18:00Z</dcterms:created>
  <dcterms:modified xsi:type="dcterms:W3CDTF">2026-07-23T10:18:00Z</dcterms:modified>
</cp:coreProperties>
</file>